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华文中宋" w:hAnsi="华文中宋" w:eastAsia="华文中宋"/>
          <w:b/>
          <w:spacing w:val="58"/>
          <w:sz w:val="52"/>
          <w:szCs w:val="52"/>
        </w:rPr>
      </w:pPr>
    </w:p>
    <w:p>
      <w:pPr>
        <w:spacing w:line="800" w:lineRule="exact"/>
        <w:jc w:val="center"/>
        <w:rPr>
          <w:rFonts w:ascii="华文中宋" w:hAnsi="华文中宋" w:eastAsia="华文中宋"/>
          <w:b/>
          <w:spacing w:val="58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58"/>
          <w:sz w:val="52"/>
          <w:szCs w:val="52"/>
        </w:rPr>
        <w:t>浙江省嘉兴市中级人民法院</w:t>
      </w:r>
    </w:p>
    <w:p>
      <w:pPr>
        <w:spacing w:line="800" w:lineRule="exact"/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公</w:t>
      </w:r>
      <w:r>
        <w:rPr>
          <w:rFonts w:hint="eastAsia" w:ascii="华文中宋" w:hAnsi="华文中宋" w:eastAsia="华文中宋"/>
          <w:b/>
          <w:sz w:val="52"/>
          <w:szCs w:val="52"/>
          <w:lang w:eastAsia="zh-CN"/>
        </w:rPr>
        <w:t>　</w:t>
      </w:r>
      <w:r>
        <w:rPr>
          <w:rFonts w:hint="eastAsia" w:ascii="华文中宋" w:hAnsi="华文中宋" w:eastAsia="华文中宋"/>
          <w:b/>
          <w:sz w:val="52"/>
          <w:szCs w:val="52"/>
        </w:rPr>
        <w:t>告</w:t>
      </w: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(20</w:t>
      </w:r>
      <w:r>
        <w:rPr>
          <w:rFonts w:hint="default" w:ascii="仿宋_GB2312" w:eastAsia="仿宋_GB2312"/>
          <w:sz w:val="32"/>
          <w:szCs w:val="32"/>
          <w:lang w:val="e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)浙04民初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本院</w:t>
      </w:r>
      <w:r>
        <w:rPr>
          <w:rFonts w:hint="eastAsia" w:ascii="仿宋_GB2312" w:eastAsia="仿宋_GB2312"/>
          <w:sz w:val="32"/>
          <w:szCs w:val="32"/>
          <w:lang w:eastAsia="zh-CN"/>
        </w:rPr>
        <w:t>受理的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公益诉讼起诉人嘉兴市人民检察院</w:t>
      </w:r>
      <w:r>
        <w:rPr>
          <w:rFonts w:hint="eastAsia" w:ascii="仿宋_GB2312" w:eastAsia="仿宋_GB2312"/>
          <w:sz w:val="32"/>
          <w:szCs w:val="32"/>
          <w:lang w:eastAsia="zh-CN"/>
        </w:rPr>
        <w:t>与被告顾德荣消费者权益保护民事公益诉讼一案，诉讼过程中，经调解，当事人达成调解协议。</w:t>
      </w: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现根据《最高人民法院关于适用〈中华人民共和国民事诉讼法〉的解释》第二百八十七条第二款之规定，特将调解协议相关内容公告如下：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公益诉讼起诉人诉讼请求及案件基本事实</w:t>
      </w:r>
    </w:p>
    <w:p>
      <w:pPr>
        <w:numPr>
          <w:ilvl w:val="0"/>
          <w:numId w:val="0"/>
        </w:numPr>
        <w:spacing w:line="596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诉讼请求：</w:t>
      </w:r>
    </w:p>
    <w:p>
      <w:pPr>
        <w:numPr>
          <w:ilvl w:val="0"/>
          <w:numId w:val="0"/>
        </w:numPr>
        <w:spacing w:line="596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依法判令顾德荣支付公益损害赔偿金6784元。</w:t>
      </w:r>
    </w:p>
    <w:p>
      <w:pPr>
        <w:numPr>
          <w:ilvl w:val="0"/>
          <w:numId w:val="0"/>
        </w:numPr>
        <w:spacing w:line="596" w:lineRule="exact"/>
        <w:ind w:firstLine="640"/>
        <w:rPr>
          <w:rFonts w:hint="eastAsia" w:ascii="仿宋_GB2312" w:hAnsi="宋体" w:eastAsia="仿宋_GB2312"/>
          <w:kern w:val="0"/>
          <w:sz w:val="32"/>
          <w:lang w:val="en" w:eastAsia="zh-CN"/>
        </w:rPr>
      </w:pPr>
      <w:r>
        <w:rPr>
          <w:rFonts w:hint="eastAsia" w:ascii="仿宋_GB2312" w:hAnsi="宋体" w:eastAsia="仿宋_GB2312"/>
          <w:kern w:val="0"/>
          <w:sz w:val="32"/>
          <w:lang w:val="en" w:eastAsia="zh-CN"/>
        </w:rPr>
        <w:t>案件基本事实：</w:t>
      </w:r>
    </w:p>
    <w:p>
      <w:pPr>
        <w:numPr>
          <w:ilvl w:val="0"/>
          <w:numId w:val="0"/>
        </w:numPr>
        <w:spacing w:line="596" w:lineRule="exact"/>
        <w:ind w:firstLine="640"/>
        <w:rPr>
          <w:rFonts w:hint="eastAsia" w:ascii="仿宋_GB2312" w:hAnsi="宋体" w:eastAsia="仿宋_GB2312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顾德荣在明知其所售“速效咳瑞停胶囊”为不正规假药的情况下，于2017年10月至2022年期间向史培杰购入424瓶用于销售，销售金额达6784元。经浙江省食品药品检验研究院检测，“速效咳瑞停胶囊”中含有醋酸伯尼松成分。经嘉兴市市场监督管理局认定，上述药品为假药。嘉善县人民检察院在履行公益诉讼监督职责中发现，顾德荣销售假药的行为，侵害不特定多数人的身体健康，损害社会公共利益，于2023年12月22日立案，同日履行公告程序。公告期满后，未有法律规定的机关或相关组织提起民事公益诉讼，社会公共利益处于持续受损害状态。</w:t>
      </w:r>
    </w:p>
    <w:p>
      <w:pPr>
        <w:numPr>
          <w:ilvl w:val="0"/>
          <w:numId w:val="1"/>
        </w:numPr>
        <w:spacing w:line="596" w:lineRule="exact"/>
        <w:ind w:left="0" w:leftChars="0" w:firstLine="640" w:firstLineChars="200"/>
        <w:rPr>
          <w:rFonts w:hint="eastAsia" w:ascii="仿宋_GB2312" w:hAnsi="宋体" w:eastAsia="仿宋_GB2312"/>
          <w:kern w:val="0"/>
          <w:sz w:val="32"/>
          <w:lang w:val="en" w:eastAsia="zh-CN"/>
        </w:rPr>
      </w:pPr>
      <w:r>
        <w:rPr>
          <w:rFonts w:hint="eastAsia" w:ascii="仿宋_GB2312" w:hAnsi="宋体" w:eastAsia="仿宋_GB2312"/>
          <w:kern w:val="0"/>
          <w:sz w:val="32"/>
          <w:lang w:val="en" w:eastAsia="zh-CN"/>
        </w:rPr>
        <w:t>调解协议内容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公益诉讼起诉人：嘉兴市人民检察院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被告：顾德荣</w:t>
      </w:r>
    </w:p>
    <w:p>
      <w:pPr>
        <w:numPr>
          <w:ilvl w:val="0"/>
          <w:numId w:val="2"/>
        </w:num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被告</w:t>
      </w:r>
      <w:r>
        <w:rPr>
          <w:rFonts w:hint="eastAsia" w:ascii="仿宋_GB2312" w:eastAsia="仿宋_GB2312"/>
          <w:sz w:val="32"/>
          <w:szCs w:val="32"/>
          <w:lang w:eastAsia="zh-CN"/>
        </w:rPr>
        <w:t>顾德荣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对公益诉讼起诉人起诉的案件事实无异议；</w:t>
      </w:r>
    </w:p>
    <w:p>
      <w:pPr>
        <w:numPr>
          <w:ilvl w:val="0"/>
          <w:numId w:val="2"/>
        </w:num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被告</w:t>
      </w:r>
      <w:r>
        <w:rPr>
          <w:rFonts w:hint="eastAsia" w:ascii="仿宋_GB2312" w:eastAsia="仿宋_GB2312"/>
          <w:sz w:val="32"/>
          <w:szCs w:val="32"/>
          <w:lang w:eastAsia="zh-CN"/>
        </w:rPr>
        <w:t>顾德荣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自愿支付公益损害赔偿金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6784元（已支付至公益诉讼起诉人指定公益赔偿金账户</w:t>
      </w:r>
      <w:r>
        <w:rPr>
          <w:rFonts w:hint="default" w:ascii="仿宋_GB2312" w:eastAsia="仿宋_GB2312"/>
          <w:sz w:val="32"/>
          <w:szCs w:val="32"/>
          <w:lang w:val="en" w:eastAsia="zh-CN"/>
        </w:rPr>
        <w:t>: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嘉善县人民检察院实有资金专户，账号：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1204070029300081542）；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当事人就本案无其他争议。</w:t>
      </w: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本调解协议已经双方当事人签字确认。</w:t>
      </w:r>
    </w:p>
    <w:p>
      <w:pPr>
        <w:spacing w:line="596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述协议内容现由本院予以公告，公告期间为公告发布之日起三十日。公告期内，有关自然人、法人和社会组织有不同意见，可以向本院民事审判第一庭提出书面异议。如公告期满后，未有相关自然人、法人和社会组织提出书面异议，或提出书面异议经本院审查不成立，并且本院审查认为该协议不违反法律规定，未损害社会公共利益，将依据此协议内容制作调解书。</w:t>
      </w: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刘文文</w:t>
      </w:r>
    </w:p>
    <w:p>
      <w:pPr>
        <w:spacing w:line="596" w:lineRule="exact"/>
        <w:ind w:firstLine="640" w:firstLineChars="200"/>
        <w:rPr>
          <w:rFonts w:hint="default"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联系电话：0573-8368</w:t>
      </w:r>
      <w:r>
        <w:rPr>
          <w:rFonts w:hint="default" w:ascii="仿宋_GB2312" w:eastAsia="仿宋_GB2312"/>
          <w:sz w:val="32"/>
          <w:szCs w:val="32"/>
          <w:lang w:val="en"/>
        </w:rPr>
        <w:t>6195</w:t>
      </w: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</w:rPr>
        <w:t>联系地址：嘉兴市中级人民法院</w:t>
      </w:r>
      <w:r>
        <w:rPr>
          <w:rFonts w:hint="eastAsia" w:ascii="仿宋_GB2312" w:eastAsia="仿宋_GB2312"/>
          <w:sz w:val="32"/>
          <w:szCs w:val="32"/>
          <w:lang w:eastAsia="zh-CN"/>
        </w:rPr>
        <w:t>民事审判第一庭</w:t>
      </w:r>
      <w:r>
        <w:rPr>
          <w:rFonts w:hint="eastAsia" w:ascii="仿宋_GB2312" w:eastAsia="仿宋_GB2312"/>
          <w:sz w:val="32"/>
          <w:szCs w:val="32"/>
        </w:rPr>
        <w:t>（嘉兴市中山西路177号）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9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特此公告。</w:t>
      </w: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6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5440" w:firstLineChars="17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</w:rPr>
        <w:t>二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〇</w:t>
      </w:r>
      <w:r>
        <w:rPr>
          <w:rFonts w:hint="eastAsia" w:ascii="仿宋_GB2312" w:hAnsi="仿宋_GB2312" w:eastAsia="仿宋_GB2312" w:cs="仿宋_GB2312"/>
          <w:kern w:val="0"/>
          <w:sz w:val="32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日</w:t>
      </w:r>
      <w:bookmarkStart w:id="0" w:name="_GoBack"/>
      <w:bookmarkEnd w:id="0"/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871" w:right="1418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B3F2B"/>
    <w:multiLevelType w:val="singleLevel"/>
    <w:tmpl w:val="3E6B3F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FFD985"/>
    <w:multiLevelType w:val="singleLevel"/>
    <w:tmpl w:val="67FFD98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71"/>
    <w:rsid w:val="00033C29"/>
    <w:rsid w:val="00051BE7"/>
    <w:rsid w:val="000D52F4"/>
    <w:rsid w:val="00114552"/>
    <w:rsid w:val="0013567F"/>
    <w:rsid w:val="001539CE"/>
    <w:rsid w:val="00207C7B"/>
    <w:rsid w:val="002B04D3"/>
    <w:rsid w:val="002C5849"/>
    <w:rsid w:val="003369FB"/>
    <w:rsid w:val="00346170"/>
    <w:rsid w:val="003B56D5"/>
    <w:rsid w:val="00454A27"/>
    <w:rsid w:val="004B728F"/>
    <w:rsid w:val="005C0A03"/>
    <w:rsid w:val="00600B49"/>
    <w:rsid w:val="0062289C"/>
    <w:rsid w:val="006C312A"/>
    <w:rsid w:val="00726C47"/>
    <w:rsid w:val="00896711"/>
    <w:rsid w:val="00905783"/>
    <w:rsid w:val="00953610"/>
    <w:rsid w:val="009A434D"/>
    <w:rsid w:val="00A47FC3"/>
    <w:rsid w:val="00A762EA"/>
    <w:rsid w:val="00B27798"/>
    <w:rsid w:val="00B27C5E"/>
    <w:rsid w:val="00B30ECF"/>
    <w:rsid w:val="00B61E12"/>
    <w:rsid w:val="00BD791F"/>
    <w:rsid w:val="00C154D4"/>
    <w:rsid w:val="00C27BC3"/>
    <w:rsid w:val="00CA0DE9"/>
    <w:rsid w:val="00CD6555"/>
    <w:rsid w:val="00DF6D71"/>
    <w:rsid w:val="00E15682"/>
    <w:rsid w:val="00E819D2"/>
    <w:rsid w:val="00F42644"/>
    <w:rsid w:val="1BECD4D7"/>
    <w:rsid w:val="2690AF4F"/>
    <w:rsid w:val="2FE9D9E5"/>
    <w:rsid w:val="31DB9F03"/>
    <w:rsid w:val="336778E8"/>
    <w:rsid w:val="33FFAEB1"/>
    <w:rsid w:val="34FB327F"/>
    <w:rsid w:val="3A1F4E18"/>
    <w:rsid w:val="3F1F08DF"/>
    <w:rsid w:val="467D40D3"/>
    <w:rsid w:val="46BFBF51"/>
    <w:rsid w:val="4FF5C22C"/>
    <w:rsid w:val="53FF7EC1"/>
    <w:rsid w:val="55DDD93C"/>
    <w:rsid w:val="57FA964A"/>
    <w:rsid w:val="57FF14CD"/>
    <w:rsid w:val="5BFFD7C7"/>
    <w:rsid w:val="5EA97F61"/>
    <w:rsid w:val="5FD5299D"/>
    <w:rsid w:val="667AEFEA"/>
    <w:rsid w:val="67FE1C46"/>
    <w:rsid w:val="69FF04C6"/>
    <w:rsid w:val="6BFFC1B2"/>
    <w:rsid w:val="6FF392A1"/>
    <w:rsid w:val="736E1C6D"/>
    <w:rsid w:val="74EF8A97"/>
    <w:rsid w:val="768789BF"/>
    <w:rsid w:val="76BF1A82"/>
    <w:rsid w:val="776668E3"/>
    <w:rsid w:val="7AFE6551"/>
    <w:rsid w:val="7BD61C8E"/>
    <w:rsid w:val="7BDBF01B"/>
    <w:rsid w:val="7CB41601"/>
    <w:rsid w:val="7DD782D1"/>
    <w:rsid w:val="7DDB57E8"/>
    <w:rsid w:val="7DF79AEE"/>
    <w:rsid w:val="7DFA6990"/>
    <w:rsid w:val="7EEC1CD4"/>
    <w:rsid w:val="7F7D84FE"/>
    <w:rsid w:val="7FDF59D3"/>
    <w:rsid w:val="7FF7F65F"/>
    <w:rsid w:val="7FFE5769"/>
    <w:rsid w:val="8FFB04BF"/>
    <w:rsid w:val="9E3DC366"/>
    <w:rsid w:val="9F57B613"/>
    <w:rsid w:val="9FBD7E32"/>
    <w:rsid w:val="ADFF6100"/>
    <w:rsid w:val="AEFB0961"/>
    <w:rsid w:val="B89E75BC"/>
    <w:rsid w:val="BB6B94A8"/>
    <w:rsid w:val="BBBE35FB"/>
    <w:rsid w:val="BDBFB189"/>
    <w:rsid w:val="BF75F771"/>
    <w:rsid w:val="BFDE5385"/>
    <w:rsid w:val="BFFAB81F"/>
    <w:rsid w:val="D74F3978"/>
    <w:rsid w:val="D79A0648"/>
    <w:rsid w:val="DCEDC3B7"/>
    <w:rsid w:val="DD7E6ACB"/>
    <w:rsid w:val="DDFFBED8"/>
    <w:rsid w:val="E7DC1F20"/>
    <w:rsid w:val="EDFBB6E4"/>
    <w:rsid w:val="EFF7F9F6"/>
    <w:rsid w:val="EFFF5AE4"/>
    <w:rsid w:val="F147ED1E"/>
    <w:rsid w:val="F2AFB4C8"/>
    <w:rsid w:val="F3FE35ED"/>
    <w:rsid w:val="F5674B91"/>
    <w:rsid w:val="F5FFC70D"/>
    <w:rsid w:val="F65F634A"/>
    <w:rsid w:val="F7E3EEEF"/>
    <w:rsid w:val="F7FDABB6"/>
    <w:rsid w:val="F7FFD761"/>
    <w:rsid w:val="FBEF9C48"/>
    <w:rsid w:val="FC3D99A2"/>
    <w:rsid w:val="FD7D279D"/>
    <w:rsid w:val="FF46395D"/>
    <w:rsid w:val="FF4FDEEB"/>
    <w:rsid w:val="FFBFDA5C"/>
    <w:rsid w:val="FFE13C02"/>
    <w:rsid w:val="FFE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291</Characters>
  <Lines>2</Lines>
  <Paragraphs>1</Paragraphs>
  <TotalTime>5</TotalTime>
  <ScaleCrop>false</ScaleCrop>
  <LinksUpToDate>false</LinksUpToDate>
  <CharactersWithSpaces>340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2021-01-06T19:27:00Z</dcterms:created>
  <dc:creator>NTKO</dc:creator>
  <cp:lastModifiedBy>jxzy</cp:lastModifiedBy>
  <cp:lastPrinted>2023-02-17T01:19:00Z</cp:lastPrinted>
  <dcterms:modified xsi:type="dcterms:W3CDTF">2024-04-01T15:51:12Z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